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RPr="000C5C52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A7D70"/>
                <w:sz w:val="35"/>
                <w:szCs w:val="35"/>
              </w:rPr>
            </w:pPr>
            <w:bookmarkStart w:id="0" w:name="_GoBack"/>
            <w:bookmarkEnd w:id="0"/>
            <w:r w:rsidRPr="000C5C52">
              <w:rPr>
                <w:rFonts w:ascii="Arial" w:hAnsi="Arial" w:cs="Arial"/>
                <w:b/>
                <w:bCs/>
                <w:color w:val="3A7D70"/>
                <w:sz w:val="35"/>
                <w:szCs w:val="35"/>
              </w:rPr>
              <w:t>Genetic Services at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A7D70"/>
                <w:sz w:val="35"/>
                <w:szCs w:val="35"/>
              </w:rPr>
            </w:pPr>
            <w:r w:rsidRPr="000C5C52">
              <w:rPr>
                <w:rFonts w:ascii="Arial" w:hAnsi="Arial" w:cs="Arial"/>
                <w:b/>
                <w:bCs/>
                <w:color w:val="3A7D70"/>
                <w:sz w:val="35"/>
                <w:szCs w:val="35"/>
              </w:rPr>
              <w:t>ETSU Medical Genetics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A7D70"/>
                <w:sz w:val="28"/>
                <w:szCs w:val="28"/>
              </w:rPr>
            </w:pPr>
            <w:r w:rsidRPr="000C5C52">
              <w:rPr>
                <w:rFonts w:ascii="Arial" w:hAnsi="Arial" w:cs="Arial"/>
                <w:b/>
                <w:bCs/>
                <w:color w:val="3A7D70"/>
                <w:sz w:val="28"/>
                <w:szCs w:val="28"/>
              </w:rPr>
              <w:t>(Partial List)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Genetic evaluation/consultation by a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board-certified clinical geneticist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(pediatrics and adults)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Diagnostic Genetic testing including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Chromosome Microarray analysis and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molecular studies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Genetic counseling/recommendations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for management, and regular follow-up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of patients with genetic conditions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A7D70"/>
                <w:sz w:val="23"/>
                <w:szCs w:val="23"/>
              </w:rPr>
            </w:pPr>
            <w:r w:rsidRPr="000C5C52">
              <w:rPr>
                <w:rFonts w:ascii="Arial" w:hAnsi="Arial" w:cs="Arial"/>
                <w:color w:val="3A7D70"/>
                <w:sz w:val="23"/>
                <w:szCs w:val="23"/>
              </w:rPr>
              <w:t>PEDIATRICS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Multiple Congenital Anomalies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Dysmorphic Features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Intellectual Disability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Behavioral Disorders/ADHD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Autism Spectrum Disorder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Abnormal Growth &amp; Development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A7D70"/>
                <w:sz w:val="23"/>
                <w:szCs w:val="23"/>
              </w:rPr>
            </w:pPr>
            <w:r w:rsidRPr="000C5C52">
              <w:rPr>
                <w:rFonts w:ascii="Arial" w:hAnsi="Arial" w:cs="Arial"/>
                <w:color w:val="3A7D70"/>
                <w:sz w:val="23"/>
                <w:szCs w:val="23"/>
              </w:rPr>
              <w:t>ADULTS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Intellectual Disability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Behavioral Disorders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Family History of Inherited Disorders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Short/Tall Stature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A7D70"/>
                <w:sz w:val="23"/>
                <w:szCs w:val="23"/>
              </w:rPr>
            </w:pPr>
            <w:r w:rsidRPr="000C5C52">
              <w:rPr>
                <w:rFonts w:ascii="Arial" w:hAnsi="Arial" w:cs="Arial"/>
                <w:color w:val="3A7D70"/>
                <w:sz w:val="23"/>
                <w:szCs w:val="23"/>
              </w:rPr>
              <w:t>CANCER GENETICS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Personal and/or Family History of Cancer: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Breast, Ovarian, Colon Cancers, etc.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Syndromic Cancers: Multiple Endocrine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Neoplasia, Macrocephaly-Overgrowth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Syndromes, etc.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A7D70"/>
                <w:sz w:val="23"/>
                <w:szCs w:val="23"/>
              </w:rPr>
            </w:pPr>
            <w:r w:rsidRPr="000C5C52">
              <w:rPr>
                <w:rFonts w:ascii="Arial" w:hAnsi="Arial" w:cs="Arial"/>
                <w:color w:val="3A7D70"/>
                <w:sz w:val="23"/>
                <w:szCs w:val="23"/>
              </w:rPr>
              <w:t>PRENATAL GENETICS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Pre-test and post-test counseling for: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CBAA78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Maternal serum screening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(AFP/Quad test)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CBAA78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Noninvasive Prenatal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Testing/Screening (NIPT/NIPS)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CBAA78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Invasive Prenatal Diagnosis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(Amniocentesis, CVS)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Multiple Miscarriages/Infertility</w:t>
            </w:r>
          </w:p>
          <w:p w:rsidR="00464B3F" w:rsidRPr="000C5C52" w:rsidRDefault="00464B3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0"/>
                <w:szCs w:val="20"/>
              </w:rPr>
            </w:pPr>
            <w:r w:rsidRPr="000C5C52">
              <w:rPr>
                <w:rFonts w:ascii="Arial" w:hAnsi="Arial" w:cs="Arial"/>
                <w:color w:val="4DA991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Personal and/or Family History of</w:t>
            </w:r>
          </w:p>
          <w:p w:rsidR="00307EC9" w:rsidRPr="000C5C52" w:rsidRDefault="00464B3F" w:rsidP="00464B3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C5C52">
              <w:rPr>
                <w:rFonts w:ascii="Arial" w:hAnsi="Arial" w:cs="Arial"/>
                <w:color w:val="FFFFFF"/>
                <w:sz w:val="20"/>
                <w:szCs w:val="20"/>
              </w:rPr>
              <w:t xml:space="preserve">• </w:t>
            </w:r>
            <w:r w:rsidRPr="000C5C52">
              <w:rPr>
                <w:rFonts w:ascii="Arial" w:hAnsi="Arial" w:cs="Arial"/>
                <w:color w:val="00053E"/>
                <w:sz w:val="20"/>
                <w:szCs w:val="20"/>
              </w:rPr>
              <w:t>Inherited/Genetic Conditions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0C5C52">
              <w:trPr>
                <w:trHeight w:hRule="exact" w:val="7920"/>
              </w:trPr>
              <w:tc>
                <w:tcPr>
                  <w:tcW w:w="5000" w:type="pct"/>
                </w:tcPr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A7D70"/>
                      <w:sz w:val="42"/>
                      <w:szCs w:val="42"/>
                    </w:rPr>
                  </w:pPr>
                  <w:r w:rsidRPr="000C5C52">
                    <w:rPr>
                      <w:rFonts w:ascii="Arial" w:hAnsi="Arial" w:cs="Arial"/>
                      <w:b/>
                      <w:bCs/>
                      <w:color w:val="3A7D70"/>
                      <w:sz w:val="42"/>
                      <w:szCs w:val="42"/>
                    </w:rPr>
                    <w:t>Our Team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A7D70"/>
                      <w:sz w:val="42"/>
                      <w:szCs w:val="42"/>
                    </w:rPr>
                  </w:pP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53E"/>
                    </w:rPr>
                  </w:pPr>
                  <w:r w:rsidRPr="000C5C52">
                    <w:rPr>
                      <w:rFonts w:ascii="Arial" w:hAnsi="Arial" w:cs="Arial"/>
                      <w:b/>
                      <w:color w:val="00053E"/>
                    </w:rPr>
                    <w:t>MJ Hajianpour, MD, PhD, FACMGG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  <w:t>Stefanie Yoon, FNP-C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  <w:t>423-433-6848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  <w:t>Jennifer Carver, FNP-C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  <w:t>423-433-6848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  <w:t>Heather Marshall, LPN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  <w:t>423-433-6801</w:t>
                  </w: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</w:pPr>
                </w:p>
                <w:p w:rsidR="00464B3F" w:rsidRPr="000C5C52" w:rsidRDefault="00464B3F" w:rsidP="00464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</w:pPr>
                  <w:r w:rsidRPr="000C5C52">
                    <w:rPr>
                      <w:rFonts w:ascii="Arial" w:hAnsi="Arial" w:cs="Arial"/>
                      <w:b/>
                      <w:color w:val="00053E"/>
                      <w:sz w:val="24"/>
                      <w:szCs w:val="24"/>
                    </w:rPr>
                    <w:t>Amber Hall, LPN</w:t>
                  </w:r>
                </w:p>
                <w:p w:rsidR="00307EC9" w:rsidRPr="000C5C52" w:rsidRDefault="00464B3F" w:rsidP="00464B3F">
                  <w:pPr>
                    <w:jc w:val="center"/>
                    <w:rPr>
                      <w:rFonts w:ascii="Arial" w:hAnsi="Arial" w:cs="Arial"/>
                    </w:rPr>
                  </w:pPr>
                  <w:r w:rsidRPr="000C5C52">
                    <w:rPr>
                      <w:rFonts w:ascii="Arial" w:hAnsi="Arial" w:cs="Arial"/>
                      <w:color w:val="00053E"/>
                      <w:sz w:val="24"/>
                      <w:szCs w:val="24"/>
                    </w:rPr>
                    <w:t>423-433-6810</w:t>
                  </w:r>
                </w:p>
              </w:tc>
            </w:tr>
            <w:tr w:rsidR="00307EC9" w:rsidRPr="000C5C5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leLayout"/>
                    <w:tblW w:w="4649" w:type="pct"/>
                    <w:tblLayout w:type="fixed"/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RPr="000C5C52" w:rsidTr="00204BDF">
                    <w:tc>
                      <w:tcPr>
                        <w:tcW w:w="1220" w:type="dxa"/>
                        <w:vAlign w:val="center"/>
                      </w:tcPr>
                      <w:p w:rsidR="00307EC9" w:rsidRPr="000C5C52" w:rsidRDefault="00307EC9" w:rsidP="001947E7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  <w:vAlign w:val="center"/>
                      </w:tcPr>
                      <w:sdt>
                        <w:sdtPr>
                          <w:rPr>
                            <w:rFonts w:ascii="Arial" w:hAnsi="Arial" w:cs="Arial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BC209C19642A49D0A0D29329B6E871BE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Pr="000C5C52" w:rsidRDefault="00A022DB">
                            <w:pPr>
                              <w:pStyle w:val="Compan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ETSU Medical genetics</w:t>
                            </w:r>
                          </w:p>
                        </w:sdtContent>
                      </w:sdt>
                      <w:p w:rsidR="00307EC9" w:rsidRPr="000C5C52" w:rsidRDefault="00464B3F" w:rsidP="00464B3F">
                        <w:pPr>
                          <w:pStyle w:val="ContactInfo"/>
                          <w:rPr>
                            <w:rFonts w:ascii="Arial" w:hAnsi="Arial" w:cs="Arial"/>
                          </w:rPr>
                        </w:pPr>
                        <w:r w:rsidRPr="000C5C52">
                          <w:rPr>
                            <w:rFonts w:ascii="Arial" w:hAnsi="Arial" w:cs="Arial"/>
                          </w:rPr>
                          <w:t>325 N. State of Franklin Rd.</w:t>
                        </w:r>
                      </w:p>
                      <w:p w:rsidR="00464B3F" w:rsidRPr="000C5C52" w:rsidRDefault="00464B3F" w:rsidP="00464B3F">
                        <w:pPr>
                          <w:pStyle w:val="ContactInfo"/>
                          <w:rPr>
                            <w:rFonts w:ascii="Arial" w:hAnsi="Arial" w:cs="Arial"/>
                          </w:rPr>
                        </w:pPr>
                        <w:r w:rsidRPr="000C5C52">
                          <w:rPr>
                            <w:rFonts w:ascii="Arial" w:hAnsi="Arial" w:cs="Arial"/>
                          </w:rPr>
                          <w:t>Johnson City, TN 37604</w:t>
                        </w:r>
                      </w:p>
                    </w:tc>
                  </w:tr>
                </w:tbl>
                <w:p w:rsidR="00307EC9" w:rsidRPr="000C5C52" w:rsidRDefault="00307EC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07EC9" w:rsidRPr="000C5C52" w:rsidRDefault="00307EC9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4564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564"/>
            </w:tblGrid>
            <w:tr w:rsidR="00307EC9" w:rsidRPr="000C5C52" w:rsidTr="008F30D3">
              <w:trPr>
                <w:trHeight w:hRule="exact" w:val="2804"/>
              </w:trPr>
              <w:tc>
                <w:tcPr>
                  <w:tcW w:w="5000" w:type="pct"/>
                </w:tcPr>
                <w:p w:rsidR="00307EC9" w:rsidRPr="000C5C52" w:rsidRDefault="00307EC9">
                  <w:pPr>
                    <w:rPr>
                      <w:rFonts w:ascii="Arial" w:hAnsi="Arial" w:cs="Arial"/>
                    </w:rPr>
                  </w:pPr>
                  <w:r w:rsidRPr="000C5C52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07435AA4" wp14:editId="07435AA5">
                        <wp:extent cx="2441448" cy="1621121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1621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0C5C52" w:rsidTr="008F30D3">
              <w:trPr>
                <w:trHeight w:hRule="exact" w:val="99"/>
              </w:trPr>
              <w:tc>
                <w:tcPr>
                  <w:tcW w:w="5000" w:type="pct"/>
                </w:tcPr>
                <w:p w:rsidR="00307EC9" w:rsidRPr="000C5C52" w:rsidRDefault="00307E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7EC9" w:rsidRPr="000C5C52" w:rsidTr="008F30D3">
              <w:trPr>
                <w:trHeight w:hRule="exact" w:val="5420"/>
              </w:trPr>
              <w:sdt>
                <w:sdtPr>
                  <w:rPr>
                    <w:rFonts w:ascii="Arial" w:hAnsi="Arial" w:cs="Arial"/>
                  </w:rPr>
                  <w:alias w:val="Enter Company Name:"/>
                  <w:tag w:val="Enter Company Name:"/>
                  <w:id w:val="-2083982577"/>
                  <w:placeholder>
                    <w:docPart w:val="8C8057096CDF4CC6AF3EBD3E43E1BEB1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Pr="000C5C52" w:rsidRDefault="00A022DB" w:rsidP="00464B3F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ETSU Medical genetics</w:t>
                      </w:r>
                    </w:p>
                  </w:tc>
                </w:sdtContent>
              </w:sdt>
            </w:tr>
            <w:tr w:rsidR="00307EC9" w:rsidRPr="000C5C52" w:rsidTr="008F30D3">
              <w:trPr>
                <w:trHeight w:hRule="exact" w:val="2408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0954C3" w:rsidRPr="008F30D3" w:rsidRDefault="000954C3" w:rsidP="000954C3">
                  <w:pPr>
                    <w:pStyle w:val="Subtitle"/>
                    <w:spacing w:after="0"/>
                    <w:rPr>
                      <w:rFonts w:ascii="Arial" w:hAnsi="Arial" w:cs="Arial"/>
                      <w:b/>
                      <w:color w:val="D46111" w:themeColor="accent5" w:themeShade="BF"/>
                      <w:sz w:val="64"/>
                      <w:szCs w:val="64"/>
                    </w:rPr>
                  </w:pPr>
                  <w:r w:rsidRPr="008F30D3">
                    <w:rPr>
                      <w:rFonts w:ascii="Arial" w:hAnsi="Arial" w:cs="Arial"/>
                      <w:b/>
                      <w:color w:val="8E410B" w:themeColor="accent5" w:themeShade="80"/>
                      <w:sz w:val="64"/>
                      <w:szCs w:val="64"/>
                    </w:rPr>
                    <w:t>Clinical Genetics</w:t>
                  </w:r>
                </w:p>
                <w:p w:rsidR="008F30D3" w:rsidRPr="008F30D3" w:rsidRDefault="000954C3" w:rsidP="000954C3">
                  <w:pPr>
                    <w:pStyle w:val="Subtitle"/>
                    <w:spacing w:after="0"/>
                    <w:rPr>
                      <w:rFonts w:ascii="Arial" w:hAnsi="Arial" w:cs="Arial"/>
                      <w:b/>
                      <w:color w:val="F6B88D" w:themeColor="accent5" w:themeTint="99"/>
                      <w:sz w:val="30"/>
                      <w:szCs w:val="30"/>
                    </w:rPr>
                  </w:pPr>
                  <w:r w:rsidRPr="008F30D3">
                    <w:rPr>
                      <w:rFonts w:ascii="Arial" w:hAnsi="Arial" w:cs="Arial"/>
                      <w:b/>
                      <w:color w:val="F6B88D" w:themeColor="accent5" w:themeTint="99"/>
                      <w:sz w:val="30"/>
                      <w:szCs w:val="30"/>
                    </w:rPr>
                    <w:t xml:space="preserve">Pediatrics </w:t>
                  </w:r>
                  <w:r w:rsidR="008F30D3" w:rsidRPr="008F30D3">
                    <w:rPr>
                      <w:rFonts w:ascii="Arial" w:hAnsi="Arial" w:cs="Arial"/>
                      <w:b/>
                      <w:color w:val="F6B88D" w:themeColor="accent5" w:themeTint="99"/>
                      <w:sz w:val="30"/>
                      <w:szCs w:val="30"/>
                    </w:rPr>
                    <w:t>&amp; Adults</w:t>
                  </w:r>
                </w:p>
                <w:p w:rsidR="008F30D3" w:rsidRDefault="008F30D3" w:rsidP="000954C3">
                  <w:pPr>
                    <w:pStyle w:val="Subtitle"/>
                    <w:spacing w:after="0"/>
                    <w:rPr>
                      <w:rFonts w:ascii="Arial" w:hAnsi="Arial" w:cs="Arial"/>
                      <w:b/>
                      <w:color w:val="D46111" w:themeColor="accent5" w:themeShade="BF"/>
                      <w:sz w:val="32"/>
                      <w:szCs w:val="32"/>
                    </w:rPr>
                  </w:pPr>
                </w:p>
                <w:p w:rsidR="00307EC9" w:rsidRPr="000C5C52" w:rsidRDefault="008F30D3" w:rsidP="000954C3">
                  <w:pPr>
                    <w:pStyle w:val="Subtitle"/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D46111" w:themeColor="accent5" w:themeShade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07EC9" w:rsidRPr="000C5C52" w:rsidRDefault="00307EC9">
            <w:pPr>
              <w:rPr>
                <w:rFonts w:ascii="Arial" w:hAnsi="Arial" w:cs="Arial"/>
              </w:rPr>
            </w:pPr>
          </w:p>
        </w:tc>
      </w:tr>
      <w:tr w:rsidR="00307EC9" w:rsidRPr="000C5C52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88430E" w:rsidRPr="000C5C52" w:rsidRDefault="0088430E" w:rsidP="00464B3F">
            <w:pPr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</w:pPr>
            <w:r w:rsidRPr="000C5C52">
              <w:rPr>
                <w:rFonts w:ascii="Arial" w:hAnsi="Arial" w:cs="Arial"/>
                <w:b/>
                <w:bCs/>
                <w:noProof/>
                <w:color w:val="03A996" w:themeColor="accent1"/>
                <w:sz w:val="42"/>
                <w:szCs w:val="42"/>
                <w:lang w:eastAsia="en-US"/>
              </w:rPr>
              <w:lastRenderedPageBreak/>
              <w:drawing>
                <wp:inline distT="0" distB="0" distL="0" distR="0" wp14:anchorId="34A20CA6" wp14:editId="47CBFE77">
                  <wp:extent cx="2441575" cy="2465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8px-Genetics_-_The_Noun_Project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24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B3F" w:rsidRPr="000C5C52" w:rsidRDefault="001D2EB1" w:rsidP="00464B3F">
            <w:pPr>
              <w:rPr>
                <w:rFonts w:ascii="Arial" w:hAnsi="Arial" w:cs="Arial"/>
              </w:rPr>
            </w:pP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 xml:space="preserve">What is </w:t>
            </w:r>
            <w:r w:rsidR="00C07F98"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Clinical Genetic</w:t>
            </w: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?</w:t>
            </w:r>
          </w:p>
          <w:p w:rsidR="000C5C52" w:rsidRDefault="00C07F98" w:rsidP="000C5C5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4"/>
                <w:szCs w:val="24"/>
              </w:rPr>
            </w:pPr>
            <w:r w:rsidRPr="000C5C52">
              <w:rPr>
                <w:rFonts w:ascii="Arial" w:hAnsi="Arial" w:cs="Arial"/>
                <w:color w:val="00053E"/>
                <w:sz w:val="24"/>
                <w:szCs w:val="24"/>
              </w:rPr>
              <w:t>Evaluation of babies/ infants/ Children and adults with birth defects/ multiple congenital anomalies, developmental delay, speech and language deficit, intellectual disability, and behavioral disorders (ADHD, Autism, etc.).</w:t>
            </w:r>
          </w:p>
          <w:p w:rsidR="00056977" w:rsidRDefault="00056977" w:rsidP="000C5C5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4"/>
                <w:szCs w:val="24"/>
              </w:rPr>
            </w:pPr>
            <w:r>
              <w:rPr>
                <w:rFonts w:ascii="Arial" w:hAnsi="Arial" w:cs="Arial"/>
                <w:color w:val="00053E"/>
                <w:sz w:val="24"/>
                <w:szCs w:val="24"/>
              </w:rPr>
              <w:t>Diagnosis of genetic disorders verified with genetic studies (if available).</w:t>
            </w:r>
          </w:p>
          <w:p w:rsidR="00F016BA" w:rsidRPr="000C5C52" w:rsidRDefault="00F016BA" w:rsidP="000C5C5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53E"/>
                <w:sz w:val="24"/>
                <w:szCs w:val="24"/>
              </w:rPr>
            </w:pPr>
            <w:r w:rsidRPr="000C5C52">
              <w:rPr>
                <w:rFonts w:ascii="Arial" w:hAnsi="Arial" w:cs="Arial"/>
                <w:color w:val="00053E"/>
                <w:sz w:val="24"/>
                <w:szCs w:val="24"/>
              </w:rPr>
              <w:t>Identify at-risk relative for the known genetic condition in the family by analysis of family history/ Pedigree</w:t>
            </w:r>
          </w:p>
          <w:p w:rsidR="0088430E" w:rsidRPr="00056977" w:rsidRDefault="00F016BA" w:rsidP="000569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5C52">
              <w:rPr>
                <w:rFonts w:ascii="Arial" w:hAnsi="Arial" w:cs="Arial"/>
                <w:color w:val="00053E"/>
                <w:sz w:val="24"/>
                <w:szCs w:val="24"/>
              </w:rPr>
              <w:t xml:space="preserve">Provide genetic counseling including description of identified genetic disorder, </w:t>
            </w:r>
            <w:r w:rsidR="00C07F98" w:rsidRPr="000C5C52">
              <w:rPr>
                <w:rFonts w:ascii="Arial" w:hAnsi="Arial" w:cs="Arial"/>
                <w:color w:val="00053E"/>
                <w:sz w:val="24"/>
                <w:szCs w:val="24"/>
              </w:rPr>
              <w:t xml:space="preserve">mode </w:t>
            </w:r>
            <w:r w:rsidRPr="000C5C52">
              <w:rPr>
                <w:rFonts w:ascii="Arial" w:hAnsi="Arial" w:cs="Arial"/>
                <w:color w:val="00053E"/>
                <w:sz w:val="24"/>
                <w:szCs w:val="24"/>
              </w:rPr>
              <w:t xml:space="preserve">of </w:t>
            </w:r>
            <w:r w:rsidR="002759A9" w:rsidRPr="000C5C52">
              <w:rPr>
                <w:rFonts w:ascii="Arial" w:hAnsi="Arial" w:cs="Arial"/>
                <w:color w:val="00053E"/>
                <w:sz w:val="24"/>
                <w:szCs w:val="24"/>
              </w:rPr>
              <w:t>inheritance</w:t>
            </w:r>
            <w:r w:rsidRPr="000C5C52">
              <w:rPr>
                <w:rFonts w:ascii="Arial" w:hAnsi="Arial" w:cs="Arial"/>
                <w:color w:val="00053E"/>
                <w:sz w:val="24"/>
                <w:szCs w:val="24"/>
              </w:rPr>
              <w:t>, and re</w:t>
            </w:r>
            <w:r w:rsidR="002759A9" w:rsidRPr="000C5C52">
              <w:rPr>
                <w:rFonts w:ascii="Arial" w:hAnsi="Arial" w:cs="Arial"/>
                <w:color w:val="00053E"/>
                <w:sz w:val="24"/>
                <w:szCs w:val="24"/>
              </w:rPr>
              <w:t>currence risk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88430E" w:rsidRPr="000C5C52" w:rsidRDefault="000954C3" w:rsidP="0088430E">
            <w:pPr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</w:pP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Clinical</w:t>
            </w:r>
            <w:r w:rsidR="0088430E"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 xml:space="preserve"> Genetic</w:t>
            </w: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s</w:t>
            </w:r>
            <w:r w:rsidR="0088430E"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 xml:space="preserve"> </w:t>
            </w: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Services</w:t>
            </w:r>
          </w:p>
          <w:p w:rsidR="0088430E" w:rsidRPr="008F30D3" w:rsidRDefault="00F016BA" w:rsidP="00C76687">
            <w:pPr>
              <w:numPr>
                <w:ilvl w:val="0"/>
                <w:numId w:val="25"/>
              </w:numPr>
              <w:spacing w:after="240" w:line="240" w:lineRule="auto"/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</w:pPr>
            <w:r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Abnormal </w:t>
            </w:r>
            <w:r w:rsidR="0088430E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Newborn </w:t>
            </w:r>
            <w:r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S</w:t>
            </w:r>
            <w:r w:rsidR="0088430E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creening</w:t>
            </w:r>
            <w:r w:rsidR="000C5C52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 (NBS)</w:t>
            </w:r>
            <w:r w:rsidR="0088430E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:</w:t>
            </w:r>
            <w:r w:rsidR="0088430E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 </w:t>
            </w:r>
            <w:r w:rsidR="000C5C52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The ETSU Medical Genetics is a follow-up center for abnormal </w:t>
            </w:r>
            <w:r w:rsidR="0088430E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newborn screening tests </w:t>
            </w:r>
            <w:r w:rsidR="000C5C52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>which is a State program for diagnosis of</w:t>
            </w:r>
            <w:r w:rsidR="0088430E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 certain genetic disorders</w:t>
            </w:r>
            <w:r w:rsidR="000C5C52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>/ inborn errors of metabolism in newborns</w:t>
            </w:r>
            <w:r w:rsidR="0088430E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. </w:t>
            </w:r>
          </w:p>
          <w:p w:rsidR="00056977" w:rsidRPr="008F30D3" w:rsidRDefault="00056977" w:rsidP="00C7668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53E"/>
                <w:sz w:val="23"/>
                <w:szCs w:val="23"/>
              </w:rPr>
            </w:pPr>
            <w:r w:rsidRPr="008F30D3">
              <w:rPr>
                <w:rFonts w:ascii="Arial" w:hAnsi="Arial" w:cs="Arial"/>
                <w:color w:val="00053E"/>
                <w:sz w:val="23"/>
                <w:szCs w:val="23"/>
              </w:rPr>
              <w:t xml:space="preserve">Clinical diagnosis of inherited disorders/ genetic disorders verified by specialized genetic testing including Chromosome Microarray (CMA), Gene Sequencing with deletion/ duplication analysis, Next Generation Sequencing (NGS), Whole Exome Sequencing (WES) and Whole Genome Sequencing (WGS). </w:t>
            </w:r>
          </w:p>
          <w:p w:rsidR="00307EC9" w:rsidRPr="000C5C52" w:rsidRDefault="00056977" w:rsidP="00C76687">
            <w:pPr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Carrier and </w:t>
            </w:r>
            <w:r w:rsidR="0088430E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pre</w:t>
            </w:r>
            <w:r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-</w:t>
            </w:r>
            <w:r w:rsidR="0088430E" w:rsidRPr="008F30D3">
              <w:rPr>
                <w:rStyle w:val="Strong"/>
                <w:rFonts w:ascii="Arial" w:hAnsi="Arial" w:cs="Arial"/>
                <w:color w:val="444444"/>
                <w:sz w:val="23"/>
                <w:szCs w:val="23"/>
                <w:lang w:val="en"/>
              </w:rPr>
              <w:t>symptomatic testing:</w:t>
            </w:r>
            <w:r w:rsidR="0088430E"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 xml:space="preserve"> these tests are used to identify genetic changes when disorders are suspected after birth, or sometimes much later in life. Tests are useful </w:t>
            </w:r>
            <w:r w:rsidRPr="008F30D3">
              <w:rPr>
                <w:rFonts w:ascii="Arial" w:hAnsi="Arial" w:cs="Arial"/>
                <w:color w:val="444444"/>
                <w:sz w:val="23"/>
                <w:szCs w:val="23"/>
                <w:lang w:val="en"/>
              </w:rPr>
              <w:t>to identify at-risk family members or asymptomatic carriers of the known gene alteration (mutation) in the family.</w:t>
            </w:r>
            <w:r w:rsidRPr="00056977">
              <w:rPr>
                <w:rFonts w:ascii="Arial" w:hAnsi="Arial" w:cs="Arial"/>
                <w:color w:val="444444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565" w:type="dxa"/>
            <w:tcMar>
              <w:left w:w="720" w:type="dxa"/>
            </w:tcMar>
          </w:tcPr>
          <w:p w:rsidR="0088430E" w:rsidRPr="000C5C52" w:rsidRDefault="0088430E" w:rsidP="0088430E">
            <w:pPr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</w:pPr>
            <w:r w:rsidRPr="000C5C52">
              <w:rPr>
                <w:rFonts w:ascii="Arial" w:hAnsi="Arial" w:cs="Arial"/>
                <w:b/>
                <w:bCs/>
                <w:noProof/>
                <w:color w:val="03A996" w:themeColor="accent1"/>
                <w:sz w:val="42"/>
                <w:szCs w:val="42"/>
                <w:lang w:eastAsia="en-US"/>
              </w:rPr>
              <w:drawing>
                <wp:inline distT="0" distB="0" distL="0" distR="0">
                  <wp:extent cx="2159000" cy="105841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22440170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05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30E" w:rsidRPr="000C5C52" w:rsidRDefault="0088430E" w:rsidP="0088430E">
            <w:pPr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</w:pPr>
            <w:r w:rsidRPr="000C5C52">
              <w:rPr>
                <w:rFonts w:ascii="Arial" w:hAnsi="Arial" w:cs="Arial"/>
                <w:b/>
                <w:bCs/>
                <w:color w:val="03A996" w:themeColor="accent1"/>
                <w:sz w:val="42"/>
                <w:szCs w:val="42"/>
              </w:rPr>
              <w:t>Our Process Involves:</w:t>
            </w:r>
          </w:p>
          <w:p w:rsidR="00C76687" w:rsidRPr="00A022DB" w:rsidRDefault="00C76687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Review reason for the referral for genetic consultation.</w:t>
            </w:r>
          </w:p>
          <w:p w:rsidR="00C76687" w:rsidRPr="00A022DB" w:rsidRDefault="00C76687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Mailing a package to the patient/ guar</w:t>
            </w:r>
            <w:r w:rsidR="00A022DB">
              <w:rPr>
                <w:rFonts w:ascii="Arial" w:hAnsi="Arial" w:cs="Arial"/>
                <w:bCs/>
                <w:color w:val="auto"/>
              </w:rPr>
              <w:t>dian to collect the medical</w:t>
            </w:r>
            <w:r w:rsidRPr="00A022DB">
              <w:rPr>
                <w:rFonts w:ascii="Arial" w:hAnsi="Arial" w:cs="Arial"/>
                <w:bCs/>
                <w:color w:val="auto"/>
              </w:rPr>
              <w:t xml:space="preserve"> and family history</w:t>
            </w:r>
          </w:p>
          <w:p w:rsidR="00C76687" w:rsidRPr="00A022DB" w:rsidRDefault="00A022DB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Pre-clinic</w:t>
            </w:r>
            <w:r w:rsidR="00C76687" w:rsidRPr="00A022DB">
              <w:rPr>
                <w:rFonts w:ascii="Arial" w:hAnsi="Arial" w:cs="Arial"/>
                <w:bCs/>
                <w:color w:val="auto"/>
              </w:rPr>
              <w:t xml:space="preserve"> review of the gestational history, present illness and past medical history</w:t>
            </w:r>
          </w:p>
          <w:p w:rsidR="0088430E" w:rsidRPr="00A022DB" w:rsidRDefault="00C76687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Prepare and analyze</w:t>
            </w:r>
            <w:r w:rsidR="00A022D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A022DB">
              <w:rPr>
                <w:rFonts w:ascii="Arial" w:hAnsi="Arial" w:cs="Arial"/>
                <w:bCs/>
                <w:color w:val="auto"/>
              </w:rPr>
              <w:t>a</w:t>
            </w:r>
            <w:r w:rsidR="0088430E" w:rsidRPr="00A022DB">
              <w:rPr>
                <w:rFonts w:ascii="Arial" w:hAnsi="Arial" w:cs="Arial"/>
                <w:bCs/>
                <w:color w:val="auto"/>
              </w:rPr>
              <w:t xml:space="preserve"> three-generation pedigree</w:t>
            </w:r>
            <w:r w:rsidR="00A022DB">
              <w:rPr>
                <w:rFonts w:ascii="Arial" w:hAnsi="Arial" w:cs="Arial"/>
                <w:bCs/>
                <w:color w:val="auto"/>
              </w:rPr>
              <w:t xml:space="preserve"> (family history)</w:t>
            </w:r>
          </w:p>
          <w:p w:rsidR="0088430E" w:rsidRPr="00A022DB" w:rsidRDefault="00A022DB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 xml:space="preserve">Schedule the patient for genetic evaluation and </w:t>
            </w:r>
            <w:r w:rsidR="0088430E" w:rsidRPr="00A022DB">
              <w:rPr>
                <w:rFonts w:ascii="Arial" w:hAnsi="Arial" w:cs="Arial"/>
                <w:bCs/>
                <w:color w:val="auto"/>
              </w:rPr>
              <w:t>genetic test</w:t>
            </w:r>
            <w:r w:rsidRPr="00A022DB">
              <w:rPr>
                <w:rFonts w:ascii="Arial" w:hAnsi="Arial" w:cs="Arial"/>
                <w:bCs/>
                <w:color w:val="auto"/>
              </w:rPr>
              <w:t>ing</w:t>
            </w:r>
          </w:p>
          <w:p w:rsidR="0088430E" w:rsidRPr="00A022DB" w:rsidRDefault="00A022DB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Provide</w:t>
            </w:r>
            <w:r w:rsidR="0088430E" w:rsidRPr="00A022DB">
              <w:rPr>
                <w:rFonts w:ascii="Arial" w:hAnsi="Arial" w:cs="Arial"/>
                <w:bCs/>
                <w:color w:val="auto"/>
              </w:rPr>
              <w:t xml:space="preserve"> pre-test and post-test counseling</w:t>
            </w:r>
          </w:p>
          <w:p w:rsidR="0088430E" w:rsidRPr="00A022DB" w:rsidRDefault="0088430E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 xml:space="preserve">Referring and coordinating </w:t>
            </w:r>
            <w:r w:rsidR="00A022DB" w:rsidRPr="00A022DB">
              <w:rPr>
                <w:rFonts w:ascii="Arial" w:hAnsi="Arial" w:cs="Arial"/>
                <w:bCs/>
                <w:color w:val="auto"/>
              </w:rPr>
              <w:t xml:space="preserve">patient </w:t>
            </w:r>
            <w:r w:rsidRPr="00A022DB">
              <w:rPr>
                <w:rFonts w:ascii="Arial" w:hAnsi="Arial" w:cs="Arial"/>
                <w:bCs/>
                <w:color w:val="auto"/>
              </w:rPr>
              <w:t xml:space="preserve">care </w:t>
            </w:r>
            <w:r w:rsidR="00A022DB" w:rsidRPr="00A022DB">
              <w:rPr>
                <w:rFonts w:ascii="Arial" w:hAnsi="Arial" w:cs="Arial"/>
                <w:bCs/>
                <w:color w:val="auto"/>
              </w:rPr>
              <w:t>based on identified genetic condition including physical/ occupational/ speech therapies.</w:t>
            </w:r>
          </w:p>
          <w:p w:rsidR="0088430E" w:rsidRPr="00A022DB" w:rsidRDefault="0088430E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Providing emotional support and connection to support groups</w:t>
            </w:r>
          </w:p>
          <w:p w:rsidR="0088430E" w:rsidRPr="000C5C52" w:rsidRDefault="0088430E" w:rsidP="00A022D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A022DB">
              <w:rPr>
                <w:rFonts w:ascii="Arial" w:hAnsi="Arial" w:cs="Arial"/>
                <w:bCs/>
                <w:color w:val="auto"/>
              </w:rPr>
              <w:t>Continued follow-up as needed throughout the lifespan</w:t>
            </w:r>
          </w:p>
          <w:p w:rsidR="00307EC9" w:rsidRPr="000C5C52" w:rsidRDefault="00307EC9" w:rsidP="0063311A">
            <w:pPr>
              <w:rPr>
                <w:rFonts w:ascii="Arial" w:hAnsi="Arial" w:cs="Arial"/>
              </w:rPr>
            </w:pPr>
          </w:p>
        </w:tc>
      </w:tr>
    </w:tbl>
    <w:p w:rsidR="009915C8" w:rsidRPr="000C5C52" w:rsidRDefault="009915C8" w:rsidP="00A769D1">
      <w:pPr>
        <w:pStyle w:val="NoSpacing"/>
        <w:rPr>
          <w:rFonts w:ascii="Arial" w:hAnsi="Arial" w:cs="Arial"/>
        </w:rPr>
      </w:pPr>
    </w:p>
    <w:sectPr w:rsidR="009915C8" w:rsidRPr="000C5C5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2" w:rsidRDefault="00570E32" w:rsidP="00BF6AFD">
      <w:pPr>
        <w:spacing w:after="0" w:line="240" w:lineRule="auto"/>
      </w:pPr>
      <w:r>
        <w:separator/>
      </w:r>
    </w:p>
  </w:endnote>
  <w:endnote w:type="continuationSeparator" w:id="0">
    <w:p w:rsidR="00570E32" w:rsidRDefault="00570E32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2" w:rsidRDefault="00570E32" w:rsidP="00BF6AFD">
      <w:pPr>
        <w:spacing w:after="0" w:line="240" w:lineRule="auto"/>
      </w:pPr>
      <w:r>
        <w:separator/>
      </w:r>
    </w:p>
  </w:footnote>
  <w:footnote w:type="continuationSeparator" w:id="0">
    <w:p w:rsidR="00570E32" w:rsidRDefault="00570E32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2077B94"/>
    <w:multiLevelType w:val="hybridMultilevel"/>
    <w:tmpl w:val="3E18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81DF4"/>
    <w:multiLevelType w:val="hybridMultilevel"/>
    <w:tmpl w:val="83527AC2"/>
    <w:lvl w:ilvl="0" w:tplc="63BA2F44">
      <w:numFmt w:val="bullet"/>
      <w:lvlText w:val="•"/>
      <w:lvlJc w:val="left"/>
      <w:pPr>
        <w:ind w:left="720" w:hanging="360"/>
      </w:pPr>
      <w:rPr>
        <w:rFonts w:ascii="Roboto-Black" w:eastAsiaTheme="minorHAnsi" w:hAnsi="Roboto-Black" w:cs="Roboto-Blac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6F3FEF"/>
    <w:multiLevelType w:val="multilevel"/>
    <w:tmpl w:val="0CD827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004511"/>
    <w:multiLevelType w:val="hybridMultilevel"/>
    <w:tmpl w:val="AED6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52D5"/>
    <w:multiLevelType w:val="hybridMultilevel"/>
    <w:tmpl w:val="028C2B6E"/>
    <w:lvl w:ilvl="0" w:tplc="9F4498A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5359A"/>
    <w:multiLevelType w:val="hybridMultilevel"/>
    <w:tmpl w:val="2FF8A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F1776"/>
    <w:multiLevelType w:val="multilevel"/>
    <w:tmpl w:val="7BB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4F747B"/>
    <w:multiLevelType w:val="hybridMultilevel"/>
    <w:tmpl w:val="C1EAA9CC"/>
    <w:lvl w:ilvl="0" w:tplc="63BA2F44">
      <w:numFmt w:val="bullet"/>
      <w:lvlText w:val="•"/>
      <w:lvlJc w:val="left"/>
      <w:pPr>
        <w:ind w:left="720" w:hanging="360"/>
      </w:pPr>
      <w:rPr>
        <w:rFonts w:ascii="Roboto-Black" w:eastAsiaTheme="minorHAnsi" w:hAnsi="Roboto-Black" w:cs="Roboto-Blac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0760D"/>
    <w:multiLevelType w:val="hybridMultilevel"/>
    <w:tmpl w:val="271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83806"/>
    <w:multiLevelType w:val="hybridMultilevel"/>
    <w:tmpl w:val="14C2D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0003"/>
    <w:multiLevelType w:val="hybridMultilevel"/>
    <w:tmpl w:val="33B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18"/>
  </w:num>
  <w:num w:numId="18">
    <w:abstractNumId w:val="11"/>
  </w:num>
  <w:num w:numId="19">
    <w:abstractNumId w:val="21"/>
  </w:num>
  <w:num w:numId="20">
    <w:abstractNumId w:val="14"/>
  </w:num>
  <w:num w:numId="21">
    <w:abstractNumId w:val="17"/>
  </w:num>
  <w:num w:numId="22">
    <w:abstractNumId w:val="10"/>
  </w:num>
  <w:num w:numId="23">
    <w:abstractNumId w:val="20"/>
  </w:num>
  <w:num w:numId="24">
    <w:abstractNumId w:val="1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F"/>
    <w:rsid w:val="00056977"/>
    <w:rsid w:val="000954C3"/>
    <w:rsid w:val="000C5C52"/>
    <w:rsid w:val="001372C8"/>
    <w:rsid w:val="001947E7"/>
    <w:rsid w:val="001D0847"/>
    <w:rsid w:val="001D2EB1"/>
    <w:rsid w:val="00204BDF"/>
    <w:rsid w:val="00227118"/>
    <w:rsid w:val="0025581E"/>
    <w:rsid w:val="002759A9"/>
    <w:rsid w:val="00307EC9"/>
    <w:rsid w:val="00365EBB"/>
    <w:rsid w:val="003B391D"/>
    <w:rsid w:val="00422379"/>
    <w:rsid w:val="00464B3F"/>
    <w:rsid w:val="0048634A"/>
    <w:rsid w:val="005259A3"/>
    <w:rsid w:val="005473B9"/>
    <w:rsid w:val="0056054A"/>
    <w:rsid w:val="00570E32"/>
    <w:rsid w:val="00571D35"/>
    <w:rsid w:val="005C6A14"/>
    <w:rsid w:val="005E5178"/>
    <w:rsid w:val="0063311A"/>
    <w:rsid w:val="0068396D"/>
    <w:rsid w:val="006A2E06"/>
    <w:rsid w:val="007014C5"/>
    <w:rsid w:val="007647EF"/>
    <w:rsid w:val="007E3C3A"/>
    <w:rsid w:val="0088430E"/>
    <w:rsid w:val="0089764D"/>
    <w:rsid w:val="008B000B"/>
    <w:rsid w:val="008F30D3"/>
    <w:rsid w:val="00960A60"/>
    <w:rsid w:val="009915C8"/>
    <w:rsid w:val="009F3198"/>
    <w:rsid w:val="00A022DB"/>
    <w:rsid w:val="00A16662"/>
    <w:rsid w:val="00A54316"/>
    <w:rsid w:val="00A769D1"/>
    <w:rsid w:val="00A85868"/>
    <w:rsid w:val="00A95BFB"/>
    <w:rsid w:val="00AB4A01"/>
    <w:rsid w:val="00AB72BA"/>
    <w:rsid w:val="00AD7341"/>
    <w:rsid w:val="00B16D26"/>
    <w:rsid w:val="00BF6AFD"/>
    <w:rsid w:val="00C07F98"/>
    <w:rsid w:val="00C476E1"/>
    <w:rsid w:val="00C76687"/>
    <w:rsid w:val="00C770E7"/>
    <w:rsid w:val="00CB65F7"/>
    <w:rsid w:val="00CD1DEA"/>
    <w:rsid w:val="00D27440"/>
    <w:rsid w:val="00DB5D32"/>
    <w:rsid w:val="00ED011B"/>
    <w:rsid w:val="00EE0A38"/>
    <w:rsid w:val="00F016BA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8F80DA-965C-4DDC-9506-69CC5B4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ONSP.ETSU\AppData\Roaming\Microsoft\Templates\Brochur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209C19642A49D0A0D29329B6E8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28C3-BE77-4FDE-8422-8F8EA7DF8BD2}"/>
      </w:docPartPr>
      <w:docPartBody>
        <w:p w:rsidR="00F31BD5" w:rsidRDefault="00C27B73">
          <w:pPr>
            <w:pStyle w:val="BC209C19642A49D0A0D29329B6E871BE"/>
          </w:pPr>
          <w:r>
            <w:t>Company Name</w:t>
          </w:r>
        </w:p>
      </w:docPartBody>
    </w:docPart>
    <w:docPart>
      <w:docPartPr>
        <w:name w:val="8C8057096CDF4CC6AF3EBD3E43E1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9235-903D-45E9-B5DF-9A1A9D6C6A39}"/>
      </w:docPartPr>
      <w:docPartBody>
        <w:p w:rsidR="00F31BD5" w:rsidRDefault="00C27B73">
          <w:pPr>
            <w:pStyle w:val="8C8057096CDF4CC6AF3EBD3E43E1BEB1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3"/>
    <w:rsid w:val="00C27B73"/>
    <w:rsid w:val="00D040FF"/>
    <w:rsid w:val="00F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8834855C84D04AB4E6C3FECFBE406">
    <w:name w:val="A848834855C84D04AB4E6C3FECFBE406"/>
  </w:style>
  <w:style w:type="paragraph" w:customStyle="1" w:styleId="706DFBBC42B1406A8404E10E91028F07">
    <w:name w:val="706DFBBC42B1406A8404E10E91028F07"/>
  </w:style>
  <w:style w:type="paragraph" w:customStyle="1" w:styleId="B8B16CBDD2DD45AF86B7DBE410A8884B">
    <w:name w:val="B8B16CBDD2DD45AF86B7DBE410A8884B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E09157B118C5476188C3A1561B673EF2">
    <w:name w:val="E09157B118C5476188C3A1561B673EF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6883D681864122B1AFA1A080934AB2">
    <w:name w:val="476883D681864122B1AFA1A080934AB2"/>
  </w:style>
  <w:style w:type="paragraph" w:customStyle="1" w:styleId="0107D8616DA54831BF366C06C3403745">
    <w:name w:val="0107D8616DA54831BF366C06C3403745"/>
  </w:style>
  <w:style w:type="paragraph" w:customStyle="1" w:styleId="254B3EC6C3BC47EE8381A9F73E81742E">
    <w:name w:val="254B3EC6C3BC47EE8381A9F73E81742E"/>
  </w:style>
  <w:style w:type="paragraph" w:customStyle="1" w:styleId="3F16558D040C458F856EA3A9FA19A2A8">
    <w:name w:val="3F16558D040C458F856EA3A9FA19A2A8"/>
  </w:style>
  <w:style w:type="paragraph" w:customStyle="1" w:styleId="87FBABD1860248E1B3521EF777564D8E">
    <w:name w:val="87FBABD1860248E1B3521EF777564D8E"/>
  </w:style>
  <w:style w:type="paragraph" w:customStyle="1" w:styleId="1D551FD82C014A7D875627A8AE998868">
    <w:name w:val="1D551FD82C014A7D875627A8AE998868"/>
  </w:style>
  <w:style w:type="paragraph" w:customStyle="1" w:styleId="D690C51381F84A06845D7B3FE42C1BD5">
    <w:name w:val="D690C51381F84A06845D7B3FE42C1BD5"/>
  </w:style>
  <w:style w:type="paragraph" w:customStyle="1" w:styleId="BC209C19642A49D0A0D29329B6E871BE">
    <w:name w:val="BC209C19642A49D0A0D29329B6E871BE"/>
  </w:style>
  <w:style w:type="paragraph" w:customStyle="1" w:styleId="578B03ACE0E44AA98F10533605250FAB">
    <w:name w:val="578B03ACE0E44AA98F10533605250FAB"/>
  </w:style>
  <w:style w:type="paragraph" w:customStyle="1" w:styleId="8C8057096CDF4CC6AF3EBD3E43E1BEB1">
    <w:name w:val="8C8057096CDF4CC6AF3EBD3E43E1BEB1"/>
  </w:style>
  <w:style w:type="paragraph" w:customStyle="1" w:styleId="F5FEF40D31AC4692AE294E39DC5B656F">
    <w:name w:val="F5FEF40D31AC4692AE294E39DC5B656F"/>
  </w:style>
  <w:style w:type="paragraph" w:customStyle="1" w:styleId="3B87DF8D47DA4ADEB1A06B03778BCFAA">
    <w:name w:val="3B87DF8D47DA4ADEB1A06B03778BCFAA"/>
  </w:style>
  <w:style w:type="paragraph" w:customStyle="1" w:styleId="D4974D890F364BD49B0931BD49B3AC1D">
    <w:name w:val="D4974D890F364BD49B0931BD49B3AC1D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69BA11B780645838C568B6DF74156C5">
    <w:name w:val="369BA11B780645838C568B6DF74156C5"/>
  </w:style>
  <w:style w:type="paragraph" w:customStyle="1" w:styleId="AF1B1C27A35F4FA2904F3997133B329C">
    <w:name w:val="AF1B1C27A35F4FA2904F3997133B329C"/>
  </w:style>
  <w:style w:type="paragraph" w:customStyle="1" w:styleId="D85E23D8D5034FCC9451A8A8580FA937">
    <w:name w:val="D85E23D8D5034FCC9451A8A8580FA937"/>
  </w:style>
  <w:style w:type="paragraph" w:customStyle="1" w:styleId="0FE7B4EDD7014BF6AA702335BE25BCA2">
    <w:name w:val="0FE7B4EDD7014BF6AA702335BE25BCA2"/>
  </w:style>
  <w:style w:type="paragraph" w:customStyle="1" w:styleId="B72E570EFB0A413D81C712CCDA753462">
    <w:name w:val="B72E570EFB0A413D81C712CCDA753462"/>
  </w:style>
  <w:style w:type="paragraph" w:customStyle="1" w:styleId="9206A0BEFCED43028F00F7B133236DDF">
    <w:name w:val="9206A0BEFCED43028F00F7B133236DDF"/>
  </w:style>
  <w:style w:type="paragraph" w:customStyle="1" w:styleId="B54FC249E27343C0814566FC841ACE96">
    <w:name w:val="B54FC249E27343C0814566FC841ACE96"/>
  </w:style>
  <w:style w:type="paragraph" w:customStyle="1" w:styleId="DF5FC5A9607D4E57B0AB66C46B14555E">
    <w:name w:val="DF5FC5A9607D4E57B0AB66C46B14555E"/>
  </w:style>
  <w:style w:type="paragraph" w:customStyle="1" w:styleId="60AD69417ADD4DB6AD2C0F44B29AD3B3">
    <w:name w:val="60AD69417ADD4DB6AD2C0F44B29AD3B3"/>
  </w:style>
  <w:style w:type="paragraph" w:customStyle="1" w:styleId="B3BDF51D9A1D47E481E0469AE4F8BC29">
    <w:name w:val="B3BDF51D9A1D47E481E0469AE4F8BC29"/>
  </w:style>
  <w:style w:type="paragraph" w:customStyle="1" w:styleId="67F75370C30F4F7F8A40F1F22864C72F">
    <w:name w:val="67F75370C30F4F7F8A40F1F22864C72F"/>
  </w:style>
  <w:style w:type="paragraph" w:customStyle="1" w:styleId="9C31EB555B9E42A18F9668B90D14AEB6">
    <w:name w:val="9C31EB555B9E42A18F9668B90D14A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</TotalTime>
  <Pages>3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QITS</dc:creator>
  <cp:keywords>ETSU Medical genetics</cp:keywords>
  <cp:lastModifiedBy>Hajianpour, MJ</cp:lastModifiedBy>
  <cp:revision>2</cp:revision>
  <dcterms:created xsi:type="dcterms:W3CDTF">2019-02-08T21:58:00Z</dcterms:created>
  <dcterms:modified xsi:type="dcterms:W3CDTF">2019-02-08T21:58:00Z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